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BFD41" w14:textId="77777777" w:rsidR="00F34657" w:rsidRDefault="00000000">
      <w:pPr>
        <w:spacing w:after="60"/>
      </w:pPr>
      <w:r>
        <w:rPr>
          <w:rFonts w:ascii="Arial" w:eastAsia="Arial" w:hAnsi="Arial" w:cs="Arial"/>
          <w:b/>
          <w:bCs/>
          <w:color w:val="AD9975"/>
          <w:spacing w:val="60"/>
          <w:sz w:val="18"/>
          <w:szCs w:val="18"/>
        </w:rPr>
        <w:t>VALORÉ PATRIMOINE</w:t>
      </w:r>
    </w:p>
    <w:p w14:paraId="10FF7418" w14:textId="77777777" w:rsidR="00F34657" w:rsidRDefault="00000000">
      <w:pPr>
        <w:spacing w:after="80"/>
      </w:pPr>
      <w:r>
        <w:rPr>
          <w:rFonts w:ascii="Georgia" w:eastAsia="Georgia" w:hAnsi="Georgia" w:cs="Georgia"/>
          <w:b/>
          <w:bCs/>
          <w:color w:val="1B281E"/>
          <w:sz w:val="40"/>
          <w:szCs w:val="40"/>
        </w:rPr>
        <w:t xml:space="preserve">Le tunnel complet dans </w:t>
      </w:r>
      <w:proofErr w:type="spellStart"/>
      <w:r>
        <w:rPr>
          <w:rFonts w:ascii="Georgia" w:eastAsia="Georgia" w:hAnsi="Georgia" w:cs="Georgia"/>
          <w:b/>
          <w:bCs/>
          <w:color w:val="1B281E"/>
          <w:sz w:val="40"/>
          <w:szCs w:val="40"/>
        </w:rPr>
        <w:t>GoHighLevel</w:t>
      </w:r>
      <w:proofErr w:type="spellEnd"/>
    </w:p>
    <w:p w14:paraId="33156927" w14:textId="77777777" w:rsidR="00F34657" w:rsidRDefault="00000000">
      <w:pPr>
        <w:pBdr>
          <w:bottom w:val="single" w:sz="12" w:space="10" w:color="AD9975"/>
        </w:pBdr>
        <w:spacing w:after="320"/>
      </w:pPr>
      <w:r>
        <w:rPr>
          <w:rFonts w:ascii="Arial" w:eastAsia="Arial" w:hAnsi="Arial" w:cs="Arial"/>
          <w:i/>
          <w:iCs/>
          <w:color w:val="5A5A5A"/>
          <w:sz w:val="19"/>
          <w:szCs w:val="19"/>
        </w:rPr>
        <w:t xml:space="preserve">Note de périmètre pour Serge et </w:t>
      </w:r>
      <w:proofErr w:type="gramStart"/>
      <w:r>
        <w:rPr>
          <w:rFonts w:ascii="Arial" w:eastAsia="Arial" w:hAnsi="Arial" w:cs="Arial"/>
          <w:i/>
          <w:iCs/>
          <w:color w:val="5A5A5A"/>
          <w:sz w:val="19"/>
          <w:szCs w:val="19"/>
        </w:rPr>
        <w:t>Audrey  |</w:t>
      </w:r>
      <w:proofErr w:type="gramEnd"/>
      <w:r>
        <w:rPr>
          <w:rFonts w:ascii="Arial" w:eastAsia="Arial" w:hAnsi="Arial" w:cs="Arial"/>
          <w:i/>
          <w:iCs/>
          <w:color w:val="5A5A5A"/>
          <w:sz w:val="19"/>
          <w:szCs w:val="19"/>
        </w:rPr>
        <w:t xml:space="preserve">  10 août 2026</w:t>
      </w:r>
    </w:p>
    <w:p w14:paraId="576FCBFE" w14:textId="77777777" w:rsidR="00F34657" w:rsidRDefault="00000000">
      <w:pPr>
        <w:spacing w:before="360" w:after="160"/>
      </w:pPr>
      <w:r>
        <w:rPr>
          <w:rFonts w:ascii="Georgia" w:eastAsia="Georgia" w:hAnsi="Georgia" w:cs="Georgia"/>
          <w:b/>
          <w:bCs/>
          <w:color w:val="1B281E"/>
          <w:sz w:val="30"/>
          <w:szCs w:val="30"/>
        </w:rPr>
        <w:t>La réponse en une ligne</w:t>
      </w:r>
    </w:p>
    <w:p w14:paraId="76F1AC68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sz w:val="21"/>
          <w:szCs w:val="21"/>
        </w:rPr>
        <w:t xml:space="preserve">Oui, la continuité est faisable dans </w:t>
      </w:r>
      <w:proofErr w:type="spellStart"/>
      <w:r>
        <w:rPr>
          <w:rFonts w:ascii="Arial" w:eastAsia="Arial" w:hAnsi="Arial" w:cs="Arial"/>
          <w:sz w:val="21"/>
          <w:szCs w:val="21"/>
        </w:rPr>
        <w:t>GoHighLevel</w:t>
      </w:r>
      <w:proofErr w:type="spellEnd"/>
      <w:r>
        <w:rPr>
          <w:rFonts w:ascii="Arial" w:eastAsia="Arial" w:hAnsi="Arial" w:cs="Arial"/>
          <w:sz w:val="21"/>
          <w:szCs w:val="21"/>
        </w:rPr>
        <w:t>, à trois exceptions près. Je vous conseille d'aller jusqu'à la signature de la lettre de mission : jusque-là il s'agit de coordination et de relance, ce que la plateforme fait très bien. À partir de la mise en œuvre et du pilotage patrimonial continu, O2S reprend la main. La vraie question n'est donc pas la faisabilité, c'est l'ordre dans lequel on construit.</w:t>
      </w:r>
    </w:p>
    <w:p w14:paraId="30700985" w14:textId="77777777" w:rsidR="00F34657" w:rsidRDefault="00F34657">
      <w:pPr>
        <w:pBdr>
          <w:bottom w:val="single" w:sz="6" w:space="6" w:color="D8D2C8"/>
        </w:pBdr>
        <w:spacing w:before="120" w:after="240"/>
      </w:pPr>
    </w:p>
    <w:p w14:paraId="5529F0FB" w14:textId="77777777" w:rsidR="00F34657" w:rsidRDefault="00000000">
      <w:pPr>
        <w:spacing w:before="360" w:after="160"/>
      </w:pPr>
      <w:r>
        <w:rPr>
          <w:rFonts w:ascii="Georgia" w:eastAsia="Georgia" w:hAnsi="Georgia" w:cs="Georgia"/>
          <w:b/>
          <w:bCs/>
          <w:color w:val="1B281E"/>
          <w:sz w:val="30"/>
          <w:szCs w:val="30"/>
        </w:rPr>
        <w:t>Les six demandes de Serge, une par une</w:t>
      </w:r>
    </w:p>
    <w:p w14:paraId="450EB9D4" w14:textId="77777777" w:rsidR="00F34657" w:rsidRDefault="00000000">
      <w:pPr>
        <w:spacing w:before="260" w:after="100"/>
      </w:pPr>
      <w:r>
        <w:rPr>
          <w:rFonts w:ascii="Arial" w:eastAsia="Arial" w:hAnsi="Arial" w:cs="Arial"/>
          <w:b/>
          <w:bCs/>
          <w:color w:val="AD9975"/>
          <w:sz w:val="23"/>
          <w:szCs w:val="23"/>
        </w:rPr>
        <w:t>Transcription IA du rendez-vous</w:t>
      </w:r>
    </w:p>
    <w:p w14:paraId="60FBE264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sz w:val="21"/>
          <w:szCs w:val="21"/>
        </w:rPr>
        <w:t xml:space="preserve">Faisable, mais pas nativement : </w:t>
      </w:r>
      <w:proofErr w:type="spellStart"/>
      <w:r>
        <w:rPr>
          <w:rFonts w:ascii="Arial" w:eastAsia="Arial" w:hAnsi="Arial" w:cs="Arial"/>
          <w:sz w:val="21"/>
          <w:szCs w:val="21"/>
        </w:rPr>
        <w:t>GoHighLevel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ne transcrit que ce qui passe par son propre système téléphonique. La bonne réponse est ailleurs. Vos rendez-vous se font en visio, et Teams transcrit et résume déjà nativement, dans votre propre environnement Microsoft. Pas d'outil tiers, pas de flux supplémentaire de données patrimoniales vers les États-Unis, et un seul sujet à traiter, le consentement des participants à l'enregistrement. En pratique, le conseiller colle le résumé dans la fiche, ce qui prend trente secondes.</w:t>
      </w:r>
    </w:p>
    <w:p w14:paraId="3A28F124" w14:textId="77777777" w:rsidR="00F34657" w:rsidRDefault="00000000">
      <w:pPr>
        <w:spacing w:before="260" w:after="100"/>
      </w:pPr>
      <w:proofErr w:type="gramStart"/>
      <w:r>
        <w:rPr>
          <w:rFonts w:ascii="Arial" w:eastAsia="Arial" w:hAnsi="Arial" w:cs="Arial"/>
          <w:b/>
          <w:bCs/>
          <w:color w:val="AD9975"/>
          <w:sz w:val="23"/>
          <w:szCs w:val="23"/>
        </w:rPr>
        <w:t>Email</w:t>
      </w:r>
      <w:proofErr w:type="gramEnd"/>
      <w:r>
        <w:rPr>
          <w:rFonts w:ascii="Arial" w:eastAsia="Arial" w:hAnsi="Arial" w:cs="Arial"/>
          <w:b/>
          <w:bCs/>
          <w:color w:val="AD9975"/>
          <w:sz w:val="23"/>
          <w:szCs w:val="23"/>
        </w:rPr>
        <w:t xml:space="preserve"> de suivi généré depuis le compte rendu</w:t>
      </w:r>
    </w:p>
    <w:p w14:paraId="4FB7D19C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sz w:val="21"/>
          <w:szCs w:val="21"/>
        </w:rPr>
        <w:t xml:space="preserve">Faisable, </w:t>
      </w:r>
      <w:proofErr w:type="spellStart"/>
      <w:r>
        <w:rPr>
          <w:rFonts w:ascii="Arial" w:eastAsia="Arial" w:hAnsi="Arial" w:cs="Arial"/>
          <w:sz w:val="21"/>
          <w:szCs w:val="21"/>
        </w:rPr>
        <w:t>GoHighLevel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dispose d'actions IA. Une réserve ferme de ma part : jamais d'envoi automatique. On génère un brouillon, le conseiller relit et envoie. Un </w:t>
      </w:r>
      <w:proofErr w:type="gramStart"/>
      <w:r>
        <w:rPr>
          <w:rFonts w:ascii="Arial" w:eastAsia="Arial" w:hAnsi="Arial" w:cs="Arial"/>
          <w:sz w:val="21"/>
          <w:szCs w:val="21"/>
        </w:rPr>
        <w:t>email</w:t>
      </w:r>
      <w:proofErr w:type="gramEnd"/>
      <w:r>
        <w:rPr>
          <w:rFonts w:ascii="Arial" w:eastAsia="Arial" w:hAnsi="Arial" w:cs="Arial"/>
          <w:sz w:val="21"/>
          <w:szCs w:val="21"/>
        </w:rPr>
        <w:t xml:space="preserve"> post-rendez-vous qui contient des chiffres ou une orientation relève du devoir de conseil.</w:t>
      </w:r>
    </w:p>
    <w:p w14:paraId="59F13E37" w14:textId="77777777" w:rsidR="00F34657" w:rsidRDefault="00000000">
      <w:pPr>
        <w:spacing w:before="260" w:after="100"/>
      </w:pPr>
      <w:r>
        <w:rPr>
          <w:rFonts w:ascii="Arial" w:eastAsia="Arial" w:hAnsi="Arial" w:cs="Arial"/>
          <w:b/>
          <w:bCs/>
          <w:color w:val="AD9975"/>
          <w:sz w:val="23"/>
          <w:szCs w:val="23"/>
        </w:rPr>
        <w:t>Bascule automatique en client au paiement de l'audit</w:t>
      </w:r>
    </w:p>
    <w:p w14:paraId="16EC9714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sz w:val="21"/>
          <w:szCs w:val="21"/>
        </w:rPr>
        <w:t>Totalement natif, et c'est le point le plus rentable de la liste. Une heure de travail, et c'est le pivot de tout le tunnel. Je le construis dès maintenant.</w:t>
      </w:r>
    </w:p>
    <w:p w14:paraId="0D6C9E9B" w14:textId="77777777" w:rsidR="00F34657" w:rsidRDefault="00000000">
      <w:pPr>
        <w:spacing w:before="260" w:after="100"/>
      </w:pPr>
      <w:r>
        <w:rPr>
          <w:rFonts w:ascii="Arial" w:eastAsia="Arial" w:hAnsi="Arial" w:cs="Arial"/>
          <w:b/>
          <w:bCs/>
          <w:color w:val="AD9975"/>
          <w:sz w:val="23"/>
          <w:szCs w:val="23"/>
        </w:rPr>
        <w:t>Suite du pipeline après la vente</w:t>
      </w:r>
    </w:p>
    <w:p w14:paraId="1B0D4699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sz w:val="21"/>
          <w:szCs w:val="21"/>
        </w:rPr>
        <w:t>Faisable, avec une réserve d'architecture : deux pipelines et non un seul. Un pipeline commercial qui s'arrête à l'audit réglé, un pipeline mission qui reprend derrière. Un seul pipeline à quinze étapes rendrait vos statistiques de conversion illisibles.</w:t>
      </w:r>
    </w:p>
    <w:p w14:paraId="675A2E73" w14:textId="77777777" w:rsidR="00F34657" w:rsidRDefault="00000000">
      <w:pPr>
        <w:spacing w:before="260" w:after="100"/>
      </w:pPr>
      <w:r>
        <w:rPr>
          <w:rFonts w:ascii="Arial" w:eastAsia="Arial" w:hAnsi="Arial" w:cs="Arial"/>
          <w:b/>
          <w:bCs/>
          <w:color w:val="AD9975"/>
          <w:sz w:val="23"/>
          <w:szCs w:val="23"/>
        </w:rPr>
        <w:t>Relances à chaque étape</w:t>
      </w:r>
    </w:p>
    <w:p w14:paraId="09B4EDF0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sz w:val="21"/>
          <w:szCs w:val="21"/>
        </w:rPr>
        <w:t>Techniquement simple, mais avec une distinction importante. Avant la vente, on relance un prospect, c'est automatisable. Après la vente, on relance un client qui a payé, et une relance mal calibrée abîme la relation. Ma recommandation : après l'achat de l'audit, on bascule sur des tâches internes au conseiller, sauf pour deux cas vraiment transactionnels, les pièces manquantes et la signature en attente.</w:t>
      </w:r>
    </w:p>
    <w:p w14:paraId="7D18C2D6" w14:textId="77777777" w:rsidR="00F34657" w:rsidRDefault="00000000">
      <w:pPr>
        <w:spacing w:before="260" w:after="100"/>
      </w:pPr>
      <w:r>
        <w:rPr>
          <w:rFonts w:ascii="Arial" w:eastAsia="Arial" w:hAnsi="Arial" w:cs="Arial"/>
          <w:b/>
          <w:bCs/>
          <w:color w:val="AD9975"/>
          <w:sz w:val="23"/>
          <w:szCs w:val="23"/>
        </w:rPr>
        <w:t>Ne jamais avoir deux relances contradictoires</w:t>
      </w:r>
    </w:p>
    <w:p w14:paraId="39F783DA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sz w:val="21"/>
          <w:szCs w:val="21"/>
        </w:rPr>
        <w:lastRenderedPageBreak/>
        <w:t>C'est la meilleure question de la liste, et c'est ce qui fait qu'un système tient ou pas. La règle tient en trois points : l'étape du pipeline est la seule source de vérité, chaque séquence coupe toutes les autres à son démarrage, et chaque envoi vérifie juste avant de partir que le contact est toujours à l'étape attendue. Cette troisième vérification évite le message gênant six mois plus tard. Elle se pose dès la première version.</w:t>
      </w:r>
    </w:p>
    <w:p w14:paraId="678A22A0" w14:textId="77777777" w:rsidR="00F34657" w:rsidRDefault="00F34657">
      <w:pPr>
        <w:pBdr>
          <w:bottom w:val="single" w:sz="6" w:space="6" w:color="D8D2C8"/>
        </w:pBdr>
        <w:spacing w:before="120" w:after="240"/>
      </w:pPr>
    </w:p>
    <w:p w14:paraId="395F4B90" w14:textId="77777777" w:rsidR="00F34657" w:rsidRDefault="00000000">
      <w:pPr>
        <w:spacing w:before="360" w:after="160"/>
      </w:pPr>
      <w:r>
        <w:rPr>
          <w:rFonts w:ascii="Georgia" w:eastAsia="Georgia" w:hAnsi="Georgia" w:cs="Georgia"/>
          <w:b/>
          <w:bCs/>
          <w:color w:val="1B281E"/>
          <w:sz w:val="30"/>
          <w:szCs w:val="30"/>
        </w:rPr>
        <w:t>Les trois exceptions</w:t>
      </w:r>
    </w:p>
    <w:p w14:paraId="17E29B52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b/>
          <w:bCs/>
          <w:color w:val="1B281E"/>
          <w:sz w:val="21"/>
          <w:szCs w:val="21"/>
        </w:rPr>
        <w:t xml:space="preserve">Le QR code ne dit pas qui l'a scanné. </w:t>
      </w:r>
      <w:r>
        <w:rPr>
          <w:rFonts w:ascii="Arial" w:eastAsia="Arial" w:hAnsi="Arial" w:cs="Arial"/>
          <w:sz w:val="21"/>
          <w:szCs w:val="21"/>
        </w:rPr>
        <w:t>Les scénarios 1, 2 et 3 supposent de savoir qu'une personne identifiée a assisté au webinaire, a cliqué sur le QR ou a commencé le formulaire sans le terminer. Un QR projeté en salle est anonyme : tant que le formulaire n'est pas validé, il n'existe aucun contact à relancer. Ces scénarios prendront leur sens en webinaire, avec un lien personnalisé par inscrit. Ils ne s'appliquent pas aux Journées Fusée, qui sont en présentiel.</w:t>
      </w:r>
    </w:p>
    <w:p w14:paraId="6B6D619E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b/>
          <w:bCs/>
          <w:color w:val="1B281E"/>
          <w:sz w:val="21"/>
          <w:szCs w:val="21"/>
        </w:rPr>
        <w:t xml:space="preserve">Après le rendez-vous, tout dépend d'une saisie humaine. </w:t>
      </w:r>
      <w:proofErr w:type="spellStart"/>
      <w:r>
        <w:rPr>
          <w:rFonts w:ascii="Arial" w:eastAsia="Arial" w:hAnsi="Arial" w:cs="Arial"/>
          <w:sz w:val="21"/>
          <w:szCs w:val="21"/>
        </w:rPr>
        <w:t>GoHighLevel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sait déclencher sur un paiement ou une réservation. Il ne peut pas savoir que les pièces sont incomplètes ou que la restitution a eu lieu. Chaque déclencheur suppose que Serge ou Anthony change l'étape dans la journée. Si ce geste n'est pas tenu, un client qui a payé reçoit un message qui ne correspond pas à sa situation.</w:t>
      </w:r>
    </w:p>
    <w:p w14:paraId="5E46D984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b/>
          <w:bCs/>
          <w:color w:val="1B281E"/>
          <w:sz w:val="21"/>
          <w:szCs w:val="21"/>
        </w:rPr>
        <w:t xml:space="preserve">Le barème de score mélange deux mesures. </w:t>
      </w:r>
      <w:r>
        <w:rPr>
          <w:rFonts w:ascii="Arial" w:eastAsia="Arial" w:hAnsi="Arial" w:cs="Arial"/>
          <w:sz w:val="21"/>
          <w:szCs w:val="21"/>
        </w:rPr>
        <w:t>Celui du document est comportemental, il monte avec les clics et les rendez-vous. Celui du formulaire est patrimonial, il mesure la capacité. Utilisé seul, le premier ferait passer un salarié très engagé sans patrimoine devant un dirigeant discret à fort patrimoine. À garder séparés. Et la règle « à partir de 60 points, appel téléphonique possible » ne tient plus depuis le 11 août 2026 : ce qui autorise l'appel, c'est la case cochée dans le formulaire, jamais le score.</w:t>
      </w:r>
    </w:p>
    <w:p w14:paraId="5F13852D" w14:textId="77777777" w:rsidR="00F34657" w:rsidRDefault="00F34657">
      <w:pPr>
        <w:pBdr>
          <w:bottom w:val="single" w:sz="6" w:space="6" w:color="D8D2C8"/>
        </w:pBdr>
        <w:spacing w:before="120" w:after="240"/>
      </w:pPr>
    </w:p>
    <w:p w14:paraId="0AE90297" w14:textId="77777777" w:rsidR="00F34657" w:rsidRDefault="00000000">
      <w:pPr>
        <w:spacing w:before="360" w:after="160"/>
      </w:pPr>
      <w:r>
        <w:rPr>
          <w:rFonts w:ascii="Georgia" w:eastAsia="Georgia" w:hAnsi="Georgia" w:cs="Georgia"/>
          <w:b/>
          <w:bCs/>
          <w:color w:val="1B281E"/>
          <w:sz w:val="30"/>
          <w:szCs w:val="30"/>
        </w:rPr>
        <w:t>Le découpage proposé</w:t>
      </w:r>
    </w:p>
    <w:p w14:paraId="28151C45" w14:textId="77777777" w:rsidR="00F34657" w:rsidRDefault="00000000">
      <w:pPr>
        <w:spacing w:before="260" w:after="100"/>
      </w:pPr>
      <w:r>
        <w:rPr>
          <w:rFonts w:ascii="Arial" w:eastAsia="Arial" w:hAnsi="Arial" w:cs="Arial"/>
          <w:b/>
          <w:bCs/>
          <w:color w:val="AD9975"/>
          <w:sz w:val="23"/>
          <w:szCs w:val="23"/>
        </w:rPr>
        <w:t>Avant l'événement</w:t>
      </w:r>
    </w:p>
    <w:p w14:paraId="4CEA4C7F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sz w:val="21"/>
          <w:szCs w:val="21"/>
        </w:rPr>
        <w:t>Les scénarios 4, 5, 6, 7 et 8, plus le 17. Les scénarios 7 et 8 décrivent la même situation vue sous deux angles, un audit proposé et non réglé, et sont fusionnés. À cela s'ajoute le paiement de l'audit et la bascule en client. Environ dix-huit messages à écrire, contre soixante-dix pour le document complet.</w:t>
      </w:r>
    </w:p>
    <w:p w14:paraId="53857E46" w14:textId="77777777" w:rsidR="00F34657" w:rsidRDefault="00000000">
      <w:pPr>
        <w:spacing w:before="260" w:after="100"/>
      </w:pPr>
      <w:r>
        <w:rPr>
          <w:rFonts w:ascii="Arial" w:eastAsia="Arial" w:hAnsi="Arial" w:cs="Arial"/>
          <w:b/>
          <w:bCs/>
          <w:color w:val="AD9975"/>
          <w:sz w:val="23"/>
          <w:szCs w:val="23"/>
        </w:rPr>
        <w:t>En octobre</w:t>
      </w:r>
    </w:p>
    <w:p w14:paraId="434A30FA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sz w:val="21"/>
          <w:szCs w:val="21"/>
        </w:rPr>
        <w:t xml:space="preserve">Les scénarios 9 à 13, fusionnés deux à deux : pièces, restitution, lettre de mission. Deux réserves. La lettre de mission d'un cabinet de gestion de patrimoine s'accompagne d'annexes réglementaires, je pars du principe qu'elle reste produite dans O2S et que </w:t>
      </w:r>
      <w:proofErr w:type="spellStart"/>
      <w:r>
        <w:rPr>
          <w:rFonts w:ascii="Arial" w:eastAsia="Arial" w:hAnsi="Arial" w:cs="Arial"/>
          <w:sz w:val="21"/>
          <w:szCs w:val="21"/>
        </w:rPr>
        <w:t>GoHighLevel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n'en suit que le statut. Et les pièces justificatives, avis d'imposition et relevés, ne doivent pas être stockées dans </w:t>
      </w:r>
      <w:proofErr w:type="spellStart"/>
      <w:r>
        <w:rPr>
          <w:rFonts w:ascii="Arial" w:eastAsia="Arial" w:hAnsi="Arial" w:cs="Arial"/>
          <w:sz w:val="21"/>
          <w:szCs w:val="21"/>
        </w:rPr>
        <w:t>GoHighLevel</w:t>
      </w:r>
      <w:proofErr w:type="spellEnd"/>
      <w:r>
        <w:rPr>
          <w:rFonts w:ascii="Arial" w:eastAsia="Arial" w:hAnsi="Arial" w:cs="Arial"/>
          <w:sz w:val="21"/>
          <w:szCs w:val="21"/>
        </w:rPr>
        <w:t>, qui héberge aux États-Unis : la plateforme suit l'étape, les documents passent par O2S.</w:t>
      </w:r>
    </w:p>
    <w:p w14:paraId="1045AFBB" w14:textId="77777777" w:rsidR="00F34657" w:rsidRDefault="00000000">
      <w:pPr>
        <w:spacing w:before="260" w:after="100"/>
      </w:pPr>
      <w:r>
        <w:rPr>
          <w:rFonts w:ascii="Arial" w:eastAsia="Arial" w:hAnsi="Arial" w:cs="Arial"/>
          <w:b/>
          <w:bCs/>
          <w:color w:val="AD9975"/>
          <w:sz w:val="23"/>
          <w:szCs w:val="23"/>
        </w:rPr>
        <w:t>Plus tard</w:t>
      </w:r>
    </w:p>
    <w:p w14:paraId="5C73424B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sz w:val="21"/>
          <w:szCs w:val="21"/>
        </w:rPr>
        <w:lastRenderedPageBreak/>
        <w:t>Les scénarios 1, 2 et 3 quand le canal webinaire existera. Les scénarios 15 et 16, pilotage continu et maturation, quand les premières missions seront terminées.</w:t>
      </w:r>
    </w:p>
    <w:p w14:paraId="4CC31B46" w14:textId="77777777" w:rsidR="00F34657" w:rsidRDefault="00000000">
      <w:pPr>
        <w:spacing w:before="260" w:after="100"/>
      </w:pPr>
      <w:r>
        <w:rPr>
          <w:rFonts w:ascii="Arial" w:eastAsia="Arial" w:hAnsi="Arial" w:cs="Arial"/>
          <w:b/>
          <w:bCs/>
          <w:color w:val="AD9975"/>
          <w:sz w:val="23"/>
          <w:szCs w:val="23"/>
        </w:rPr>
        <w:t xml:space="preserve">Hors </w:t>
      </w:r>
      <w:proofErr w:type="spellStart"/>
      <w:r>
        <w:rPr>
          <w:rFonts w:ascii="Arial" w:eastAsia="Arial" w:hAnsi="Arial" w:cs="Arial"/>
          <w:b/>
          <w:bCs/>
          <w:color w:val="AD9975"/>
          <w:sz w:val="23"/>
          <w:szCs w:val="23"/>
        </w:rPr>
        <w:t>GoHighLevel</w:t>
      </w:r>
      <w:proofErr w:type="spellEnd"/>
    </w:p>
    <w:p w14:paraId="73FA3913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sz w:val="21"/>
          <w:szCs w:val="21"/>
        </w:rPr>
        <w:t>Le scénario 14, l'exécution de la mission, qui se pilote en tâches et en appels et non en séquence. Et le pilotage patrimonial au quotidien, qui reste dans O2S : le dupliquer recréerait la double saisie que ce projet cherche à supprimer.</w:t>
      </w:r>
    </w:p>
    <w:p w14:paraId="616C7647" w14:textId="77777777" w:rsidR="00F34657" w:rsidRDefault="00F34657">
      <w:pPr>
        <w:pBdr>
          <w:bottom w:val="single" w:sz="6" w:space="6" w:color="D8D2C8"/>
        </w:pBdr>
        <w:spacing w:before="120" w:after="240"/>
      </w:pPr>
    </w:p>
    <w:p w14:paraId="19025CAF" w14:textId="77777777" w:rsidR="00F34657" w:rsidRDefault="00000000">
      <w:pPr>
        <w:spacing w:before="360" w:after="160"/>
      </w:pPr>
      <w:r>
        <w:rPr>
          <w:rFonts w:ascii="Georgia" w:eastAsia="Georgia" w:hAnsi="Georgia" w:cs="Georgia"/>
          <w:b/>
          <w:bCs/>
          <w:color w:val="1B281E"/>
          <w:sz w:val="30"/>
          <w:szCs w:val="30"/>
        </w:rPr>
        <w:t>Ce que je construis quand même dès maintenant</w:t>
      </w:r>
    </w:p>
    <w:p w14:paraId="0AAA65B7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sz w:val="21"/>
          <w:szCs w:val="21"/>
        </w:rPr>
        <w:t>C'est le point qui répond à votre inquiétude de devoir tout revoir ensuite.</w:t>
      </w:r>
    </w:p>
    <w:p w14:paraId="460CE38A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sz w:val="21"/>
          <w:szCs w:val="21"/>
        </w:rPr>
        <w:t>Reporter des séquences ne veut pas dire construire à moitié. Quatre choses se posent dès la première version, même si elles ne servent qu'en octobre :</w:t>
      </w:r>
    </w:p>
    <w:p w14:paraId="7781F89A" w14:textId="77777777" w:rsidR="00F34657" w:rsidRDefault="00000000">
      <w:pPr>
        <w:pStyle w:val="Paragraphedeliste"/>
        <w:numPr>
          <w:ilvl w:val="0"/>
          <w:numId w:val="2"/>
        </w:numPr>
        <w:spacing w:after="100" w:line="300" w:lineRule="auto"/>
      </w:pPr>
      <w:proofErr w:type="gramStart"/>
      <w:r>
        <w:rPr>
          <w:rFonts w:ascii="Arial" w:eastAsia="Arial" w:hAnsi="Arial" w:cs="Arial"/>
          <w:sz w:val="21"/>
          <w:szCs w:val="21"/>
        </w:rPr>
        <w:t>les</w:t>
      </w:r>
      <w:proofErr w:type="gramEnd"/>
      <w:r>
        <w:rPr>
          <w:rFonts w:ascii="Arial" w:eastAsia="Arial" w:hAnsi="Arial" w:cs="Arial"/>
          <w:sz w:val="21"/>
          <w:szCs w:val="21"/>
        </w:rPr>
        <w:t xml:space="preserve"> deux pipelines, avec toutes leurs étapes ;</w:t>
      </w:r>
    </w:p>
    <w:p w14:paraId="502B131F" w14:textId="77777777" w:rsidR="00F34657" w:rsidRDefault="00000000">
      <w:pPr>
        <w:pStyle w:val="Paragraphedeliste"/>
        <w:numPr>
          <w:ilvl w:val="0"/>
          <w:numId w:val="2"/>
        </w:numPr>
        <w:spacing w:after="100" w:line="300" w:lineRule="auto"/>
      </w:pPr>
      <w:proofErr w:type="gramStart"/>
      <w:r>
        <w:rPr>
          <w:rFonts w:ascii="Arial" w:eastAsia="Arial" w:hAnsi="Arial" w:cs="Arial"/>
          <w:sz w:val="21"/>
          <w:szCs w:val="21"/>
        </w:rPr>
        <w:t>tous</w:t>
      </w:r>
      <w:proofErr w:type="gramEnd"/>
      <w:r>
        <w:rPr>
          <w:rFonts w:ascii="Arial" w:eastAsia="Arial" w:hAnsi="Arial" w:cs="Arial"/>
          <w:sz w:val="21"/>
          <w:szCs w:val="21"/>
        </w:rPr>
        <w:t xml:space="preserve"> les champs de suivi de la phase vente, créés et laissés vides ;</w:t>
      </w:r>
    </w:p>
    <w:p w14:paraId="1F896AC0" w14:textId="77777777" w:rsidR="00F34657" w:rsidRDefault="00000000">
      <w:pPr>
        <w:pStyle w:val="Paragraphedeliste"/>
        <w:numPr>
          <w:ilvl w:val="0"/>
          <w:numId w:val="2"/>
        </w:numPr>
        <w:spacing w:after="100" w:line="300" w:lineRule="auto"/>
      </w:pPr>
      <w:proofErr w:type="gramStart"/>
      <w:r>
        <w:rPr>
          <w:rFonts w:ascii="Arial" w:eastAsia="Arial" w:hAnsi="Arial" w:cs="Arial"/>
          <w:sz w:val="21"/>
          <w:szCs w:val="21"/>
        </w:rPr>
        <w:t>la</w:t>
      </w:r>
      <w:proofErr w:type="gramEnd"/>
      <w:r>
        <w:rPr>
          <w:rFonts w:ascii="Arial" w:eastAsia="Arial" w:hAnsi="Arial" w:cs="Arial"/>
          <w:sz w:val="21"/>
          <w:szCs w:val="21"/>
        </w:rPr>
        <w:t xml:space="preserve"> règle d'exclusivité, construite comme un mécanisme central et non au cas par cas ;</w:t>
      </w:r>
    </w:p>
    <w:p w14:paraId="75D0FD19" w14:textId="77777777" w:rsidR="00F34657" w:rsidRDefault="00000000">
      <w:pPr>
        <w:pStyle w:val="Paragraphedeliste"/>
        <w:numPr>
          <w:ilvl w:val="0"/>
          <w:numId w:val="2"/>
        </w:numPr>
        <w:spacing w:after="100" w:line="300" w:lineRule="auto"/>
      </w:pPr>
      <w:proofErr w:type="gramStart"/>
      <w:r>
        <w:rPr>
          <w:rFonts w:ascii="Arial" w:eastAsia="Arial" w:hAnsi="Arial" w:cs="Arial"/>
          <w:sz w:val="21"/>
          <w:szCs w:val="21"/>
        </w:rPr>
        <w:t>le</w:t>
      </w:r>
      <w:proofErr w:type="gramEnd"/>
      <w:r>
        <w:rPr>
          <w:rFonts w:ascii="Arial" w:eastAsia="Arial" w:hAnsi="Arial" w:cs="Arial"/>
          <w:sz w:val="21"/>
          <w:szCs w:val="21"/>
        </w:rPr>
        <w:t xml:space="preserve"> déclencheur de paiement de l'audit, qui fait la couture entre les deux moitiés.</w:t>
      </w:r>
    </w:p>
    <w:p w14:paraId="6D8A8E82" w14:textId="77777777" w:rsidR="00F34657" w:rsidRDefault="00F34657">
      <w:pPr>
        <w:spacing w:after="100"/>
      </w:pPr>
    </w:p>
    <w:p w14:paraId="7789F6C0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sz w:val="21"/>
          <w:szCs w:val="21"/>
        </w:rPr>
        <w:t>Environ quatre heures aujourd'hui. Sans cela, ajouter la phase vente en octobre imposerait de reprendre la structure et de mettre à jour les fiches déjà créées. Avec cela, les séquences futures viennent simplement se brancher.</w:t>
      </w:r>
    </w:p>
    <w:p w14:paraId="02CC28C0" w14:textId="77777777" w:rsidR="00F34657" w:rsidRDefault="00000000">
      <w:pPr>
        <w:spacing w:after="140" w:line="300" w:lineRule="auto"/>
      </w:pPr>
      <w:r>
        <w:rPr>
          <w:rFonts w:ascii="Arial" w:eastAsia="Arial" w:hAnsi="Arial" w:cs="Arial"/>
          <w:sz w:val="21"/>
          <w:szCs w:val="21"/>
        </w:rPr>
        <w:t>Rien de ce que Serge a imaginé n'est écarté. Tout a sa place réservée.</w:t>
      </w:r>
    </w:p>
    <w:p w14:paraId="6D44111C" w14:textId="77777777" w:rsidR="00F34657" w:rsidRDefault="00F34657">
      <w:pPr>
        <w:pBdr>
          <w:bottom w:val="single" w:sz="6" w:space="6" w:color="D8D2C8"/>
        </w:pBdr>
        <w:spacing w:before="120" w:after="240"/>
      </w:pPr>
    </w:p>
    <w:p w14:paraId="67514453" w14:textId="77777777" w:rsidR="00F34657" w:rsidRDefault="00000000">
      <w:pPr>
        <w:spacing w:before="360" w:after="160"/>
      </w:pPr>
      <w:r>
        <w:rPr>
          <w:rFonts w:ascii="Georgia" w:eastAsia="Georgia" w:hAnsi="Georgia" w:cs="Georgia"/>
          <w:b/>
          <w:bCs/>
          <w:color w:val="1B281E"/>
          <w:sz w:val="30"/>
          <w:szCs w:val="30"/>
        </w:rPr>
        <w:t>En une phrase</w:t>
      </w:r>
    </w:p>
    <w:p w14:paraId="33B71D50" w14:textId="77777777" w:rsidR="00F34657" w:rsidRDefault="00000000">
      <w:pPr>
        <w:pBdr>
          <w:left w:val="single" w:sz="18" w:space="14" w:color="AD9975"/>
        </w:pBdr>
        <w:spacing w:after="140" w:line="300" w:lineRule="auto"/>
        <w:ind w:left="260"/>
      </w:pPr>
      <w:r>
        <w:rPr>
          <w:rFonts w:ascii="Arial" w:eastAsia="Arial" w:hAnsi="Arial" w:cs="Arial"/>
          <w:i/>
          <w:iCs/>
          <w:color w:val="1B281E"/>
          <w:sz w:val="21"/>
          <w:szCs w:val="21"/>
        </w:rPr>
        <w:t>Le processus après-vente n'a encore jamais tourné en conditions réelles. Automatiser un processus qu'on n'a pas éprouvé, c'est automatiser des hypothèses. Cinq à dix audits menés à la main, et nous saurons exactement quels messages écrire et à quelle cadence, avec le travail fait une seule fois. C'est aussi la meilleure protection contre l'usine à gaz.</w:t>
      </w:r>
    </w:p>
    <w:sectPr w:rsidR="00F34657">
      <w:pgSz w:w="11906" w:h="16838"/>
      <w:pgMar w:top="1300" w:right="1300" w:bottom="1300" w:left="13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97CFF"/>
    <w:multiLevelType w:val="hybridMultilevel"/>
    <w:tmpl w:val="62B89CBE"/>
    <w:lvl w:ilvl="0" w:tplc="BCB2A230">
      <w:start w:val="1"/>
      <w:numFmt w:val="bullet"/>
      <w:lvlText w:val="●"/>
      <w:lvlJc w:val="left"/>
      <w:pPr>
        <w:ind w:left="720" w:hanging="360"/>
      </w:pPr>
    </w:lvl>
    <w:lvl w:ilvl="1" w:tplc="76262B84">
      <w:start w:val="1"/>
      <w:numFmt w:val="bullet"/>
      <w:lvlText w:val="○"/>
      <w:lvlJc w:val="left"/>
      <w:pPr>
        <w:ind w:left="1440" w:hanging="360"/>
      </w:pPr>
    </w:lvl>
    <w:lvl w:ilvl="2" w:tplc="DE3AF4DC">
      <w:start w:val="1"/>
      <w:numFmt w:val="bullet"/>
      <w:lvlText w:val="■"/>
      <w:lvlJc w:val="left"/>
      <w:pPr>
        <w:ind w:left="2160" w:hanging="360"/>
      </w:pPr>
    </w:lvl>
    <w:lvl w:ilvl="3" w:tplc="2A6E17B4">
      <w:start w:val="1"/>
      <w:numFmt w:val="bullet"/>
      <w:lvlText w:val="●"/>
      <w:lvlJc w:val="left"/>
      <w:pPr>
        <w:ind w:left="2880" w:hanging="360"/>
      </w:pPr>
    </w:lvl>
    <w:lvl w:ilvl="4" w:tplc="99B439DE">
      <w:start w:val="1"/>
      <w:numFmt w:val="bullet"/>
      <w:lvlText w:val="○"/>
      <w:lvlJc w:val="left"/>
      <w:pPr>
        <w:ind w:left="3600" w:hanging="360"/>
      </w:pPr>
    </w:lvl>
    <w:lvl w:ilvl="5" w:tplc="496AD1EA">
      <w:start w:val="1"/>
      <w:numFmt w:val="bullet"/>
      <w:lvlText w:val="■"/>
      <w:lvlJc w:val="left"/>
      <w:pPr>
        <w:ind w:left="4320" w:hanging="360"/>
      </w:pPr>
    </w:lvl>
    <w:lvl w:ilvl="6" w:tplc="8D9AC142">
      <w:start w:val="1"/>
      <w:numFmt w:val="bullet"/>
      <w:lvlText w:val="●"/>
      <w:lvlJc w:val="left"/>
      <w:pPr>
        <w:ind w:left="5040" w:hanging="360"/>
      </w:pPr>
    </w:lvl>
    <w:lvl w:ilvl="7" w:tplc="9BBA9E0C">
      <w:start w:val="1"/>
      <w:numFmt w:val="bullet"/>
      <w:lvlText w:val="●"/>
      <w:lvlJc w:val="left"/>
      <w:pPr>
        <w:ind w:left="5760" w:hanging="360"/>
      </w:pPr>
    </w:lvl>
    <w:lvl w:ilvl="8" w:tplc="D7A6B02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59403BB"/>
    <w:multiLevelType w:val="hybridMultilevel"/>
    <w:tmpl w:val="BDEED67C"/>
    <w:lvl w:ilvl="0" w:tplc="F6781FD2">
      <w:start w:val="1"/>
      <w:numFmt w:val="bullet"/>
      <w:lvlText w:val="•"/>
      <w:lvlJc w:val="left"/>
      <w:pPr>
        <w:ind w:left="420" w:hanging="220"/>
      </w:pPr>
    </w:lvl>
    <w:lvl w:ilvl="1" w:tplc="192AE76C">
      <w:numFmt w:val="decimal"/>
      <w:lvlText w:val=""/>
      <w:lvlJc w:val="left"/>
    </w:lvl>
    <w:lvl w:ilvl="2" w:tplc="D65C20E8">
      <w:numFmt w:val="decimal"/>
      <w:lvlText w:val=""/>
      <w:lvlJc w:val="left"/>
    </w:lvl>
    <w:lvl w:ilvl="3" w:tplc="CE60D33E">
      <w:numFmt w:val="decimal"/>
      <w:lvlText w:val=""/>
      <w:lvlJc w:val="left"/>
    </w:lvl>
    <w:lvl w:ilvl="4" w:tplc="A3044306">
      <w:numFmt w:val="decimal"/>
      <w:lvlText w:val=""/>
      <w:lvlJc w:val="left"/>
    </w:lvl>
    <w:lvl w:ilvl="5" w:tplc="90A0C344">
      <w:numFmt w:val="decimal"/>
      <w:lvlText w:val=""/>
      <w:lvlJc w:val="left"/>
    </w:lvl>
    <w:lvl w:ilvl="6" w:tplc="B2200086">
      <w:numFmt w:val="decimal"/>
      <w:lvlText w:val=""/>
      <w:lvlJc w:val="left"/>
    </w:lvl>
    <w:lvl w:ilvl="7" w:tplc="667ABF2C">
      <w:numFmt w:val="decimal"/>
      <w:lvlText w:val=""/>
      <w:lvlJc w:val="left"/>
    </w:lvl>
    <w:lvl w:ilvl="8" w:tplc="A95A7974">
      <w:numFmt w:val="decimal"/>
      <w:lvlText w:val=""/>
      <w:lvlJc w:val="left"/>
    </w:lvl>
  </w:abstractNum>
  <w:num w:numId="1" w16cid:durableId="570887947">
    <w:abstractNumId w:val="0"/>
    <w:lvlOverride w:ilvl="0">
      <w:startOverride w:val="1"/>
    </w:lvlOverride>
  </w:num>
  <w:num w:numId="2" w16cid:durableId="199525629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657"/>
    <w:rsid w:val="00665BE8"/>
    <w:rsid w:val="006C3D06"/>
    <w:rsid w:val="00A00FB9"/>
    <w:rsid w:val="00F3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854E"/>
  <w15:docId w15:val="{326A4BD7-017C-4F06-98E9-27708FD2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1040</Words>
  <Characters>5721</Characters>
  <Application>Microsoft Office Word</Application>
  <DocSecurity>0</DocSecurity>
  <Lines>47</Lines>
  <Paragraphs>13</Paragraphs>
  <ScaleCrop>false</ScaleCrop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tunnel complet dans GoHighLevel</dc:title>
  <dc:creator>Sarah</dc:creator>
  <cp:lastModifiedBy>audrey Marbouty</cp:lastModifiedBy>
  <cp:revision>2</cp:revision>
  <dcterms:created xsi:type="dcterms:W3CDTF">2026-08-17T12:34:00Z</dcterms:created>
  <dcterms:modified xsi:type="dcterms:W3CDTF">2026-08-17T12:34:00Z</dcterms:modified>
</cp:coreProperties>
</file>